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E5" w:rsidRPr="00464E29" w:rsidRDefault="000E0CE5" w:rsidP="000E0CE5">
      <w:pPr>
        <w:spacing w:before="381" w:after="381" w:line="240" w:lineRule="auto"/>
        <w:jc w:val="center"/>
        <w:outlineLvl w:val="2"/>
        <w:rPr>
          <w:rFonts w:ascii="Arial" w:eastAsia="Times New Roman" w:hAnsi="Arial" w:cs="Arial"/>
          <w:color w:val="0064B5"/>
          <w:sz w:val="24"/>
          <w:szCs w:val="24"/>
          <w:lang w:eastAsia="en-GB"/>
        </w:rPr>
      </w:pPr>
      <w:r w:rsidRPr="00464E29">
        <w:rPr>
          <w:rFonts w:ascii="Arial" w:eastAsia="Times New Roman" w:hAnsi="Arial" w:cs="Arial"/>
          <w:noProof/>
          <w:color w:val="0064B5"/>
          <w:sz w:val="24"/>
          <w:szCs w:val="24"/>
          <w:lang w:eastAsia="en-GB"/>
        </w:rPr>
        <w:drawing>
          <wp:inline distT="0" distB="0" distL="0" distR="0" wp14:anchorId="732DB11B" wp14:editId="3AF056D7">
            <wp:extent cx="2152650" cy="2296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158183" cy="2302062"/>
                    </a:xfrm>
                    <a:prstGeom prst="rect">
                      <a:avLst/>
                    </a:prstGeom>
                  </pic:spPr>
                </pic:pic>
              </a:graphicData>
            </a:graphic>
          </wp:inline>
        </w:drawing>
      </w:r>
    </w:p>
    <w:p w:rsidR="000E0CE5" w:rsidRPr="00464E29" w:rsidRDefault="000E0CE5" w:rsidP="000E0CE5">
      <w:pPr>
        <w:spacing w:before="381" w:after="381" w:line="240" w:lineRule="auto"/>
        <w:jc w:val="center"/>
        <w:outlineLvl w:val="2"/>
        <w:rPr>
          <w:rFonts w:ascii="Arial" w:eastAsia="Times New Roman" w:hAnsi="Arial" w:cs="Arial"/>
          <w:b/>
          <w:sz w:val="24"/>
          <w:szCs w:val="24"/>
          <w:lang w:eastAsia="en-GB"/>
        </w:rPr>
      </w:pPr>
      <w:r w:rsidRPr="00464E29">
        <w:rPr>
          <w:rFonts w:ascii="Arial" w:eastAsia="Times New Roman" w:hAnsi="Arial" w:cs="Arial"/>
          <w:b/>
          <w:sz w:val="24"/>
          <w:szCs w:val="24"/>
          <w:lang w:eastAsia="en-GB"/>
        </w:rPr>
        <w:t>Birkett House School</w:t>
      </w:r>
    </w:p>
    <w:p w:rsidR="000E0CE5" w:rsidRPr="00464E29" w:rsidRDefault="000E0CE5" w:rsidP="000E0CE5">
      <w:pPr>
        <w:spacing w:before="381" w:after="381" w:line="240" w:lineRule="auto"/>
        <w:jc w:val="center"/>
        <w:outlineLvl w:val="2"/>
        <w:rPr>
          <w:rFonts w:ascii="Arial" w:eastAsia="Times New Roman" w:hAnsi="Arial" w:cs="Arial"/>
          <w:b/>
          <w:sz w:val="24"/>
          <w:szCs w:val="24"/>
          <w:lang w:eastAsia="en-GB"/>
        </w:rPr>
      </w:pPr>
      <w:r w:rsidRPr="00464E29">
        <w:rPr>
          <w:rFonts w:ascii="Arial" w:eastAsia="Times New Roman" w:hAnsi="Arial" w:cs="Arial"/>
          <w:b/>
          <w:sz w:val="24"/>
          <w:szCs w:val="24"/>
          <w:lang w:eastAsia="en-GB"/>
        </w:rPr>
        <w:t>Careers Education Information Advice and Guidance Programme (CEIAG)</w:t>
      </w:r>
    </w:p>
    <w:p w:rsidR="004B343E" w:rsidRDefault="000E0CE5" w:rsidP="004B343E">
      <w:pPr>
        <w:rPr>
          <w:rFonts w:ascii="Arial" w:hAnsi="Arial" w:cs="Arial"/>
          <w:sz w:val="24"/>
          <w:szCs w:val="24"/>
          <w:lang w:eastAsia="en-GB"/>
        </w:rPr>
      </w:pPr>
      <w:r w:rsidRPr="00464E29">
        <w:rPr>
          <w:rFonts w:ascii="Arial" w:hAnsi="Arial" w:cs="Arial"/>
          <w:sz w:val="24"/>
          <w:szCs w:val="24"/>
          <w:lang w:eastAsia="en-GB"/>
        </w:rPr>
        <w:t>Birkett House School is committed to providing a high quality careers education, information, advice and guidance (CEIAG) programme to all students and their parents.</w:t>
      </w:r>
    </w:p>
    <w:p w:rsidR="00A01EA4" w:rsidRDefault="00A01EA4" w:rsidP="004B343E">
      <w:pPr>
        <w:rPr>
          <w:rFonts w:ascii="Arial" w:hAnsi="Arial" w:cs="Arial"/>
          <w:sz w:val="24"/>
          <w:szCs w:val="24"/>
          <w:lang w:eastAsia="en-GB"/>
        </w:rPr>
      </w:pPr>
      <w:r>
        <w:rPr>
          <w:rFonts w:ascii="Arial" w:hAnsi="Arial" w:cs="Arial"/>
          <w:sz w:val="24"/>
          <w:szCs w:val="24"/>
          <w:lang w:eastAsia="en-GB"/>
        </w:rPr>
        <w:t>Our bespoke careers programme is based on the three stages of the career curriculum framework</w:t>
      </w:r>
      <w:r w:rsidR="00B80FBC">
        <w:rPr>
          <w:rFonts w:ascii="Arial" w:hAnsi="Arial" w:cs="Arial"/>
          <w:sz w:val="24"/>
          <w:szCs w:val="24"/>
          <w:lang w:eastAsia="en-GB"/>
        </w:rPr>
        <w:t>, which we then embed across our whole curriculum.</w:t>
      </w:r>
    </w:p>
    <w:p w:rsidR="00A01EA4" w:rsidRDefault="00A01EA4" w:rsidP="00A01EA4">
      <w:pPr>
        <w:pStyle w:val="ListParagraph"/>
        <w:numPr>
          <w:ilvl w:val="0"/>
          <w:numId w:val="5"/>
        </w:numPr>
        <w:rPr>
          <w:rFonts w:ascii="Arial" w:hAnsi="Arial" w:cs="Arial"/>
          <w:sz w:val="24"/>
          <w:szCs w:val="24"/>
          <w:lang w:eastAsia="en-GB"/>
        </w:rPr>
      </w:pPr>
      <w:r>
        <w:rPr>
          <w:rFonts w:ascii="Arial" w:hAnsi="Arial" w:cs="Arial"/>
          <w:sz w:val="24"/>
          <w:szCs w:val="24"/>
          <w:lang w:eastAsia="en-GB"/>
        </w:rPr>
        <w:t>Self-development</w:t>
      </w:r>
    </w:p>
    <w:p w:rsidR="00A01EA4" w:rsidRDefault="00A01EA4" w:rsidP="00A01EA4">
      <w:pPr>
        <w:pStyle w:val="ListParagraph"/>
        <w:numPr>
          <w:ilvl w:val="0"/>
          <w:numId w:val="5"/>
        </w:numPr>
        <w:rPr>
          <w:rFonts w:ascii="Arial" w:hAnsi="Arial" w:cs="Arial"/>
          <w:sz w:val="24"/>
          <w:szCs w:val="24"/>
          <w:lang w:eastAsia="en-GB"/>
        </w:rPr>
      </w:pPr>
      <w:r>
        <w:rPr>
          <w:rFonts w:ascii="Arial" w:hAnsi="Arial" w:cs="Arial"/>
          <w:sz w:val="24"/>
          <w:szCs w:val="24"/>
          <w:lang w:eastAsia="en-GB"/>
        </w:rPr>
        <w:t xml:space="preserve">Career Exploration </w:t>
      </w:r>
    </w:p>
    <w:p w:rsidR="00A01EA4" w:rsidRDefault="00A01EA4" w:rsidP="00A01EA4">
      <w:pPr>
        <w:pStyle w:val="ListParagraph"/>
        <w:numPr>
          <w:ilvl w:val="0"/>
          <w:numId w:val="5"/>
        </w:numPr>
        <w:rPr>
          <w:rFonts w:ascii="Arial" w:hAnsi="Arial" w:cs="Arial"/>
          <w:sz w:val="24"/>
          <w:szCs w:val="24"/>
          <w:lang w:eastAsia="en-GB"/>
        </w:rPr>
      </w:pPr>
      <w:r>
        <w:rPr>
          <w:rFonts w:ascii="Arial" w:hAnsi="Arial" w:cs="Arial"/>
          <w:sz w:val="24"/>
          <w:szCs w:val="24"/>
          <w:lang w:eastAsia="en-GB"/>
        </w:rPr>
        <w:t>Career Management</w:t>
      </w:r>
    </w:p>
    <w:p w:rsidR="000E0CE5" w:rsidRDefault="000E0CE5" w:rsidP="00464E29">
      <w:pPr>
        <w:rPr>
          <w:rFonts w:ascii="Arial" w:hAnsi="Arial" w:cs="Arial"/>
          <w:sz w:val="24"/>
          <w:szCs w:val="24"/>
          <w:lang w:eastAsia="en-GB"/>
        </w:rPr>
      </w:pPr>
      <w:r w:rsidRPr="00464E29">
        <w:rPr>
          <w:rFonts w:ascii="Arial" w:hAnsi="Arial" w:cs="Arial"/>
          <w:sz w:val="24"/>
          <w:szCs w:val="24"/>
          <w:lang w:eastAsia="en-GB"/>
        </w:rPr>
        <w:t>In line with the statutory guidance produced by the DFE and the Gatsby Benchmarks, students receive relevant and a</w:t>
      </w:r>
      <w:bookmarkStart w:id="0" w:name="_GoBack"/>
      <w:bookmarkEnd w:id="0"/>
      <w:r w:rsidRPr="00464E29">
        <w:rPr>
          <w:rFonts w:ascii="Arial" w:hAnsi="Arial" w:cs="Arial"/>
          <w:sz w:val="24"/>
          <w:szCs w:val="24"/>
          <w:lang w:eastAsia="en-GB"/>
        </w:rPr>
        <w:t>ppropriate careers advice embedded into the curriculum in addition to dedicated one to one opportunities and group work. CEIAG is incorporated into our curriculum in order to stimulate the interests of students and to inspire them to reach their full potential.</w:t>
      </w:r>
    </w:p>
    <w:p w:rsidR="00A01EA4" w:rsidRPr="00464E29" w:rsidRDefault="00A01EA4" w:rsidP="00464E29">
      <w:pPr>
        <w:rPr>
          <w:rFonts w:ascii="Arial" w:hAnsi="Arial" w:cs="Arial"/>
          <w:sz w:val="24"/>
          <w:szCs w:val="24"/>
          <w:lang w:eastAsia="en-GB"/>
        </w:rPr>
      </w:pPr>
      <w:r>
        <w:rPr>
          <w:rFonts w:ascii="Arial" w:hAnsi="Arial" w:cs="Arial"/>
          <w:sz w:val="24"/>
          <w:szCs w:val="24"/>
          <w:lang w:eastAsia="en-GB"/>
        </w:rPr>
        <w:t>As per our school motto our careers programmes endeavours to challenge all of our students, is designed in such a way that all of our students can achieve, and we are able to celebrate the diversity of all students.</w:t>
      </w:r>
    </w:p>
    <w:p w:rsidR="009919C2" w:rsidRPr="00464E29" w:rsidRDefault="00464E29" w:rsidP="00464E29">
      <w:pPr>
        <w:rPr>
          <w:rFonts w:ascii="Arial" w:hAnsi="Arial" w:cs="Arial"/>
          <w:b/>
          <w:sz w:val="24"/>
          <w:szCs w:val="24"/>
          <w:lang w:eastAsia="en-GB"/>
        </w:rPr>
      </w:pPr>
      <w:r w:rsidRPr="00464E29">
        <w:rPr>
          <w:rFonts w:ascii="Arial" w:hAnsi="Arial" w:cs="Arial"/>
          <w:b/>
          <w:sz w:val="24"/>
          <w:szCs w:val="24"/>
          <w:lang w:eastAsia="en-GB"/>
        </w:rPr>
        <w:t>Experience of Work</w:t>
      </w:r>
    </w:p>
    <w:p w:rsidR="00464E29" w:rsidRPr="00464E29" w:rsidRDefault="00464E29" w:rsidP="000E0CE5">
      <w:pPr>
        <w:spacing w:before="254" w:after="254"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All students will have the opportunity to explore at least one work experience placement where appropriate</w:t>
      </w:r>
    </w:p>
    <w:p w:rsidR="00464E29" w:rsidRPr="00464E29" w:rsidRDefault="00464E29" w:rsidP="000E0CE5">
      <w:pPr>
        <w:spacing w:before="254" w:after="254"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Students will have the experience of a range of work sector settings which will link to curriculum opportunities</w:t>
      </w:r>
    </w:p>
    <w:p w:rsidR="009919C2" w:rsidRPr="00464E29" w:rsidRDefault="00464E29" w:rsidP="000E0CE5">
      <w:pPr>
        <w:spacing w:before="254" w:after="254"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lastRenderedPageBreak/>
        <w:t xml:space="preserve">Students will be able to demonstrate that they are employable where appropriate through meaningful work experience. </w:t>
      </w:r>
      <w:r w:rsidR="009919C2" w:rsidRPr="00464E29">
        <w:rPr>
          <w:rFonts w:ascii="Arial" w:eastAsia="Times New Roman" w:hAnsi="Arial" w:cs="Arial"/>
          <w:color w:val="515151"/>
          <w:sz w:val="24"/>
          <w:szCs w:val="24"/>
          <w:lang w:eastAsia="en-GB"/>
        </w:rPr>
        <w:t xml:space="preserve"> </w:t>
      </w:r>
    </w:p>
    <w:p w:rsidR="000E0CE5" w:rsidRPr="00464E29" w:rsidRDefault="000E0CE5" w:rsidP="00464E29">
      <w:pPr>
        <w:rPr>
          <w:rFonts w:ascii="Arial" w:hAnsi="Arial" w:cs="Arial"/>
          <w:b/>
          <w:sz w:val="24"/>
          <w:szCs w:val="24"/>
          <w:lang w:eastAsia="en-GB"/>
        </w:rPr>
      </w:pPr>
      <w:r w:rsidRPr="00464E29">
        <w:rPr>
          <w:rFonts w:ascii="Arial" w:hAnsi="Arial" w:cs="Arial"/>
          <w:b/>
          <w:sz w:val="24"/>
          <w:szCs w:val="24"/>
          <w:lang w:eastAsia="en-GB"/>
        </w:rPr>
        <w:t>Students will have experienced the following CEIAG opportunities by the time they leave Birkett House</w:t>
      </w:r>
    </w:p>
    <w:p w:rsidR="000E0CE5" w:rsidRPr="00464E29" w:rsidRDefault="000E0CE5" w:rsidP="000E0CE5">
      <w:pPr>
        <w:numPr>
          <w:ilvl w:val="0"/>
          <w:numId w:val="1"/>
        </w:numPr>
        <w:spacing w:before="100" w:beforeAutospacing="1" w:after="100" w:afterAutospacing="1" w:line="240" w:lineRule="auto"/>
        <w:ind w:left="0"/>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 xml:space="preserve">A programme of careers education that is incorporated into the curriculum across all key stages </w:t>
      </w:r>
    </w:p>
    <w:p w:rsidR="000E0CE5" w:rsidRPr="00464E29" w:rsidRDefault="000E0CE5" w:rsidP="000E0CE5">
      <w:pPr>
        <w:numPr>
          <w:ilvl w:val="0"/>
          <w:numId w:val="1"/>
        </w:numPr>
        <w:spacing w:before="100" w:beforeAutospacing="1" w:after="100" w:afterAutospacing="1" w:line="240" w:lineRule="auto"/>
        <w:ind w:left="0"/>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 xml:space="preserve">Access to Labour Market Information and future study opportunities where appropriate. </w:t>
      </w:r>
    </w:p>
    <w:p w:rsidR="000E0CE5" w:rsidRPr="00464E29" w:rsidRDefault="000E0CE5" w:rsidP="000E0CE5">
      <w:pPr>
        <w:numPr>
          <w:ilvl w:val="0"/>
          <w:numId w:val="1"/>
        </w:numPr>
        <w:spacing w:before="100" w:beforeAutospacing="1" w:after="100" w:afterAutospacing="1" w:line="240" w:lineRule="auto"/>
        <w:ind w:left="0"/>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 xml:space="preserve">The Careers needs of individual students will be tailored and measured and will be linked to their Educational Health Care Plans. </w:t>
      </w:r>
    </w:p>
    <w:p w:rsidR="000E0CE5" w:rsidRPr="00464E29" w:rsidRDefault="000E0CE5" w:rsidP="000E0CE5">
      <w:pPr>
        <w:numPr>
          <w:ilvl w:val="0"/>
          <w:numId w:val="1"/>
        </w:numPr>
        <w:spacing w:before="100" w:beforeAutospacing="1" w:after="100" w:afterAutospacing="1" w:line="240" w:lineRule="auto"/>
        <w:ind w:left="0"/>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Careers and enterprise education and the curriculum is liked to real-world career pathways.</w:t>
      </w:r>
    </w:p>
    <w:p w:rsidR="000E0CE5" w:rsidRPr="00464E29" w:rsidRDefault="000E0CE5" w:rsidP="000E0CE5">
      <w:pPr>
        <w:numPr>
          <w:ilvl w:val="0"/>
          <w:numId w:val="1"/>
        </w:numPr>
        <w:spacing w:before="100" w:beforeAutospacing="1" w:after="100" w:afterAutospacing="1" w:line="240" w:lineRule="auto"/>
        <w:ind w:left="0"/>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 xml:space="preserve">All students experience encounters with employers on a range of different levels. </w:t>
      </w:r>
    </w:p>
    <w:p w:rsidR="000E0CE5" w:rsidRPr="00464E29" w:rsidRDefault="000E0CE5" w:rsidP="000E0CE5">
      <w:pPr>
        <w:numPr>
          <w:ilvl w:val="0"/>
          <w:numId w:val="1"/>
        </w:numPr>
        <w:spacing w:before="100" w:beforeAutospacing="1" w:after="100" w:afterAutospacing="1" w:line="240" w:lineRule="auto"/>
        <w:ind w:left="0"/>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Students will engage with employers by attending off-site opportunities and term time work experience at 6</w:t>
      </w:r>
      <w:r w:rsidRPr="00464E29">
        <w:rPr>
          <w:rFonts w:ascii="Arial" w:eastAsia="Times New Roman" w:hAnsi="Arial" w:cs="Arial"/>
          <w:color w:val="515151"/>
          <w:sz w:val="24"/>
          <w:szCs w:val="24"/>
          <w:vertAlign w:val="superscript"/>
          <w:lang w:eastAsia="en-GB"/>
        </w:rPr>
        <w:t>th</w:t>
      </w:r>
      <w:r w:rsidRPr="00464E29">
        <w:rPr>
          <w:rFonts w:ascii="Arial" w:eastAsia="Times New Roman" w:hAnsi="Arial" w:cs="Arial"/>
          <w:color w:val="515151"/>
          <w:sz w:val="24"/>
          <w:szCs w:val="24"/>
          <w:lang w:eastAsia="en-GB"/>
        </w:rPr>
        <w:t xml:space="preserve"> form.</w:t>
      </w:r>
    </w:p>
    <w:p w:rsidR="00464E29" w:rsidRPr="00464E29" w:rsidRDefault="00464E29" w:rsidP="000E0CE5">
      <w:pPr>
        <w:numPr>
          <w:ilvl w:val="0"/>
          <w:numId w:val="1"/>
        </w:numPr>
        <w:spacing w:before="100" w:beforeAutospacing="1" w:after="100" w:afterAutospacing="1" w:line="240" w:lineRule="auto"/>
        <w:ind w:left="0"/>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Students will have the experience of visiting universities and other provisions</w:t>
      </w:r>
    </w:p>
    <w:p w:rsidR="00464E29" w:rsidRPr="00464E29" w:rsidRDefault="00464E29" w:rsidP="00464E29">
      <w:pPr>
        <w:numPr>
          <w:ilvl w:val="0"/>
          <w:numId w:val="1"/>
        </w:numPr>
        <w:spacing w:before="100" w:beforeAutospacing="1" w:after="100" w:afterAutospacing="1" w:line="240" w:lineRule="auto"/>
        <w:ind w:left="0"/>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Students will have the opportunity to explore supported internships as well as further education provision</w:t>
      </w:r>
    </w:p>
    <w:p w:rsidR="00464E29" w:rsidRPr="00464E29" w:rsidRDefault="00464E29" w:rsidP="00464E29">
      <w:pPr>
        <w:rPr>
          <w:rFonts w:ascii="Arial" w:hAnsi="Arial" w:cs="Arial"/>
          <w:b/>
          <w:sz w:val="24"/>
          <w:szCs w:val="24"/>
          <w:lang w:eastAsia="en-GB"/>
        </w:rPr>
      </w:pPr>
      <w:r w:rsidRPr="00464E29">
        <w:rPr>
          <w:rFonts w:ascii="Arial" w:hAnsi="Arial" w:cs="Arial"/>
          <w:b/>
          <w:sz w:val="24"/>
          <w:szCs w:val="24"/>
          <w:lang w:eastAsia="en-GB"/>
        </w:rPr>
        <w:t>Preparation for Adulthood</w:t>
      </w:r>
    </w:p>
    <w:p w:rsidR="00464E29" w:rsidRPr="00464E29" w:rsidRDefault="00464E29" w:rsidP="00464E29">
      <w:pPr>
        <w:spacing w:before="100" w:beforeAutospacing="1" w:after="100" w:afterAutospacing="1"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All students will have the opportunity to work on the skills that they need to prepare them for adulthood and the world outside of Birkett House.  The curriculum will focus on the following</w:t>
      </w:r>
    </w:p>
    <w:p w:rsidR="00464E29" w:rsidRPr="00464E29" w:rsidRDefault="00464E29" w:rsidP="00464E29">
      <w:pPr>
        <w:pStyle w:val="ListParagraph"/>
        <w:numPr>
          <w:ilvl w:val="0"/>
          <w:numId w:val="3"/>
        </w:numPr>
        <w:spacing w:before="100" w:beforeAutospacing="1" w:after="100" w:afterAutospacing="1"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Employability skills to enable our young people to be employable</w:t>
      </w:r>
    </w:p>
    <w:p w:rsidR="00464E29" w:rsidRPr="00464E29" w:rsidRDefault="00464E29" w:rsidP="00464E29">
      <w:pPr>
        <w:pStyle w:val="ListParagraph"/>
        <w:numPr>
          <w:ilvl w:val="0"/>
          <w:numId w:val="3"/>
        </w:numPr>
        <w:spacing w:before="100" w:beforeAutospacing="1" w:after="100" w:afterAutospacing="1"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Attendance and timekeeping</w:t>
      </w:r>
    </w:p>
    <w:p w:rsidR="00464E29" w:rsidRPr="00464E29" w:rsidRDefault="00464E29" w:rsidP="00464E29">
      <w:pPr>
        <w:pStyle w:val="ListParagraph"/>
        <w:numPr>
          <w:ilvl w:val="0"/>
          <w:numId w:val="3"/>
        </w:numPr>
        <w:spacing w:before="100" w:beforeAutospacing="1" w:after="100" w:afterAutospacing="1"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Independent Travel Training</w:t>
      </w:r>
    </w:p>
    <w:p w:rsidR="00464E29" w:rsidRPr="00464E29" w:rsidRDefault="00464E29" w:rsidP="00464E29">
      <w:pPr>
        <w:pStyle w:val="ListParagraph"/>
        <w:numPr>
          <w:ilvl w:val="0"/>
          <w:numId w:val="3"/>
        </w:numPr>
        <w:spacing w:before="100" w:beforeAutospacing="1" w:after="100" w:afterAutospacing="1"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Planning and preparation for interviews and work</w:t>
      </w:r>
    </w:p>
    <w:p w:rsidR="00464E29" w:rsidRPr="00464E29" w:rsidRDefault="00464E29" w:rsidP="00464E29">
      <w:pPr>
        <w:pStyle w:val="ListParagraph"/>
        <w:numPr>
          <w:ilvl w:val="0"/>
          <w:numId w:val="3"/>
        </w:numPr>
        <w:spacing w:before="100" w:beforeAutospacing="1" w:after="100" w:afterAutospacing="1"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Arranging how to be prepared for work – packed lunches, appropriate clothing etc.</w:t>
      </w:r>
    </w:p>
    <w:p w:rsidR="00185E34" w:rsidRDefault="00464E29" w:rsidP="004B343E">
      <w:pPr>
        <w:pStyle w:val="ListParagraph"/>
        <w:numPr>
          <w:ilvl w:val="0"/>
          <w:numId w:val="3"/>
        </w:numPr>
        <w:spacing w:before="100" w:beforeAutospacing="1" w:after="100" w:afterAutospacing="1" w:line="240" w:lineRule="auto"/>
        <w:rPr>
          <w:rFonts w:ascii="Arial" w:eastAsia="Times New Roman" w:hAnsi="Arial" w:cs="Arial"/>
          <w:color w:val="515151"/>
          <w:sz w:val="24"/>
          <w:szCs w:val="24"/>
          <w:lang w:eastAsia="en-GB"/>
        </w:rPr>
      </w:pPr>
      <w:r w:rsidRPr="00464E29">
        <w:rPr>
          <w:rFonts w:ascii="Arial" w:eastAsia="Times New Roman" w:hAnsi="Arial" w:cs="Arial"/>
          <w:color w:val="515151"/>
          <w:sz w:val="24"/>
          <w:szCs w:val="24"/>
          <w:lang w:eastAsia="en-GB"/>
        </w:rPr>
        <w:t>Enterprise activities within school at our Enterprise centre and with employers</w:t>
      </w:r>
    </w:p>
    <w:p w:rsidR="004B343E" w:rsidRDefault="004B343E" w:rsidP="004B343E">
      <w:pPr>
        <w:spacing w:before="100" w:beforeAutospacing="1" w:after="100" w:afterAutospacing="1" w:line="240" w:lineRule="auto"/>
        <w:rPr>
          <w:rFonts w:ascii="Arial" w:eastAsia="Times New Roman" w:hAnsi="Arial" w:cs="Arial"/>
          <w:color w:val="515151"/>
          <w:sz w:val="24"/>
          <w:szCs w:val="24"/>
          <w:lang w:eastAsia="en-GB"/>
        </w:rPr>
      </w:pPr>
    </w:p>
    <w:p w:rsidR="004B343E" w:rsidRPr="004B343E" w:rsidRDefault="004B343E" w:rsidP="004B343E">
      <w:pPr>
        <w:spacing w:before="100" w:beforeAutospacing="1" w:after="100" w:afterAutospacing="1" w:line="240" w:lineRule="auto"/>
        <w:rPr>
          <w:rFonts w:ascii="Arial" w:eastAsia="Times New Roman" w:hAnsi="Arial" w:cs="Arial"/>
          <w:color w:val="515151"/>
          <w:sz w:val="24"/>
          <w:szCs w:val="24"/>
          <w:lang w:eastAsia="en-GB"/>
        </w:rPr>
      </w:pPr>
    </w:p>
    <w:sectPr w:rsidR="004B343E" w:rsidRPr="004B3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0455"/>
    <w:multiLevelType w:val="hybridMultilevel"/>
    <w:tmpl w:val="E534BFFE"/>
    <w:lvl w:ilvl="0" w:tplc="F260EC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97194"/>
    <w:multiLevelType w:val="multilevel"/>
    <w:tmpl w:val="2A2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D1394"/>
    <w:multiLevelType w:val="hybridMultilevel"/>
    <w:tmpl w:val="7738424C"/>
    <w:lvl w:ilvl="0" w:tplc="BAF01D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700E7"/>
    <w:multiLevelType w:val="multilevel"/>
    <w:tmpl w:val="AD44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637FD0"/>
    <w:multiLevelType w:val="hybridMultilevel"/>
    <w:tmpl w:val="26D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E5"/>
    <w:rsid w:val="000E0CE5"/>
    <w:rsid w:val="00185E34"/>
    <w:rsid w:val="00464E29"/>
    <w:rsid w:val="004B343E"/>
    <w:rsid w:val="005D6CDF"/>
    <w:rsid w:val="009919C2"/>
    <w:rsid w:val="00A01EA4"/>
    <w:rsid w:val="00B8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F60D"/>
  <w15:chartTrackingRefBased/>
  <w15:docId w15:val="{1AA7C010-54DB-45C8-9D23-2A8E0AF5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0C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E0CE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CE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E0CE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E0C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0CE5"/>
    <w:rPr>
      <w:b/>
      <w:bCs/>
    </w:rPr>
  </w:style>
  <w:style w:type="paragraph" w:styleId="BalloonText">
    <w:name w:val="Balloon Text"/>
    <w:basedOn w:val="Normal"/>
    <w:link w:val="BalloonTextChar"/>
    <w:uiPriority w:val="99"/>
    <w:semiHidden/>
    <w:unhideWhenUsed/>
    <w:rsid w:val="0099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C2"/>
    <w:rPr>
      <w:rFonts w:ascii="Segoe UI" w:hAnsi="Segoe UI" w:cs="Segoe UI"/>
      <w:sz w:val="18"/>
      <w:szCs w:val="18"/>
    </w:rPr>
  </w:style>
  <w:style w:type="paragraph" w:styleId="ListParagraph">
    <w:name w:val="List Paragraph"/>
    <w:basedOn w:val="Normal"/>
    <w:uiPriority w:val="34"/>
    <w:qFormat/>
    <w:rsid w:val="0046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Birkett House School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Harrup</dc:creator>
  <cp:keywords/>
  <dc:description/>
  <cp:lastModifiedBy>SClass2</cp:lastModifiedBy>
  <cp:revision>4</cp:revision>
  <cp:lastPrinted>2019-01-24T09:03:00Z</cp:lastPrinted>
  <dcterms:created xsi:type="dcterms:W3CDTF">2020-01-28T15:06:00Z</dcterms:created>
  <dcterms:modified xsi:type="dcterms:W3CDTF">2020-02-03T15:44:00Z</dcterms:modified>
</cp:coreProperties>
</file>